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C20F" w14:textId="77777777" w:rsidR="0092180A" w:rsidRPr="00BD1CC1" w:rsidRDefault="0092180A" w:rsidP="0092180A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anchor distT="0" distB="0" distL="114300" distR="114300" simplePos="0" relativeHeight="251659264" behindDoc="0" locked="0" layoutInCell="1" allowOverlap="1" wp14:anchorId="5929159E" wp14:editId="182F26F8">
            <wp:simplePos x="461246" y="574535"/>
            <wp:positionH relativeFrom="column">
              <wp:align>left</wp:align>
            </wp:positionH>
            <wp:positionV relativeFrom="paragraph">
              <wp:align>top</wp:align>
            </wp:positionV>
            <wp:extent cx="1661840" cy="187991"/>
            <wp:effectExtent l="0" t="0" r="0" b="2540"/>
            <wp:wrapSquare wrapText="bothSides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92180A" w:rsidRPr="00BD1CC1" w14:paraId="27C0849F" w14:textId="77777777" w:rsidTr="00C15E86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B6BEBF" w14:textId="77777777" w:rsidR="0092180A" w:rsidRPr="00615E27" w:rsidRDefault="0092180A" w:rsidP="00C15E86">
            <w:pPr>
              <w:pStyle w:val="RefTableHeader"/>
            </w:pPr>
            <w:r w:rsidRPr="00615E27">
              <w:t>Reference number(s)</w:t>
            </w:r>
          </w:p>
        </w:tc>
      </w:tr>
      <w:tr w:rsidR="0092180A" w:rsidRPr="00BD1CC1" w14:paraId="3BFA0B8B" w14:textId="77777777" w:rsidTr="00C15E86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9C6F" w14:textId="48BBDD60" w:rsidR="0092180A" w:rsidRPr="00BD1CC1" w:rsidRDefault="0092180A" w:rsidP="00C15E86">
            <w:pPr>
              <w:pStyle w:val="RefTableData"/>
            </w:pPr>
            <w:r>
              <w:t>2374-A</w:t>
            </w:r>
          </w:p>
        </w:tc>
      </w:tr>
    </w:tbl>
    <w:p w14:paraId="02999656" w14:textId="77777777" w:rsidR="0092180A" w:rsidRDefault="0092180A" w:rsidP="0092180A">
      <w:pPr>
        <w:pStyle w:val="BodyText"/>
        <w:rPr>
          <w:b/>
          <w:bCs/>
          <w:sz w:val="16"/>
          <w:szCs w:val="16"/>
        </w:rPr>
        <w:sectPr w:rsidR="0092180A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7219375" w14:textId="5F96D41D" w:rsidR="00E847C5" w:rsidRDefault="00694A62" w:rsidP="007E5C16">
      <w:pPr>
        <w:pStyle w:val="Heading1"/>
      </w:pPr>
      <w:r>
        <w:t>Specialty</w:t>
      </w:r>
      <w:r w:rsidRPr="00694A62">
        <w:t xml:space="preserve"> </w:t>
      </w:r>
      <w:r>
        <w:t>Guideline</w:t>
      </w:r>
      <w:r w:rsidRPr="00694A62">
        <w:t xml:space="preserve"> </w:t>
      </w:r>
      <w:r>
        <w:t>Management</w:t>
      </w:r>
      <w:r w:rsidR="00C82CAA">
        <w:br/>
      </w:r>
      <w:r w:rsidR="00C82CAA" w:rsidRPr="00C82CAA">
        <w:t>Venclexta</w:t>
      </w:r>
    </w:p>
    <w:p w14:paraId="78861C92" w14:textId="6E6ED46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E866E7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6014D8">
        <w:t>Over</w:t>
      </w:r>
      <w:r w:rsidR="00965CBB">
        <w:t>-</w:t>
      </w:r>
      <w:r w:rsidR="006014D8">
        <w:t>the</w:t>
      </w:r>
      <w:r w:rsidR="00965CBB">
        <w:t>-</w:t>
      </w:r>
      <w:r w:rsidR="006014D8">
        <w:t>counter (</w:t>
      </w:r>
      <w:r w:rsidRPr="00BD1CC1">
        <w:t>OTC</w:t>
      </w:r>
      <w:r w:rsidR="006014D8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F54F98">
            <w:pPr>
              <w:pStyle w:val="TableHeader"/>
              <w:spacing w:after="0"/>
            </w:pPr>
            <w:bookmarkStart w:id="2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F54F98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4F7DB27" w:rsidR="00585FFF" w:rsidRPr="00BD1CC1" w:rsidRDefault="00991775" w:rsidP="00F54F98">
            <w:pPr>
              <w:pStyle w:val="TableDataUnpadded"/>
            </w:pPr>
            <w:r w:rsidRPr="00991775">
              <w:t>Venclexta</w:t>
            </w:r>
          </w:p>
        </w:tc>
        <w:tc>
          <w:tcPr>
            <w:tcW w:w="5595" w:type="dxa"/>
          </w:tcPr>
          <w:p w14:paraId="7E26A004" w14:textId="2ECC0387" w:rsidR="00585FFF" w:rsidRPr="00BD1CC1" w:rsidRDefault="000D3EDE" w:rsidP="00F54F98">
            <w:pPr>
              <w:pStyle w:val="TableDataUnpadded"/>
            </w:pPr>
            <w:r w:rsidRPr="000D3EDE">
              <w:t>venetoclax</w:t>
            </w:r>
          </w:p>
        </w:tc>
      </w:tr>
    </w:tbl>
    <w:bookmarkEnd w:id="2"/>
    <w:p w14:paraId="14CE6108" w14:textId="7C0AFA9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A2A320A" w14:textId="4407A611" w:rsidR="00AA472A" w:rsidRPr="00AA472A" w:rsidRDefault="00AA472A" w:rsidP="00AA472A">
      <w:pPr>
        <w:pStyle w:val="BodyText"/>
      </w:pPr>
      <w:r w:rsidRPr="00AA472A">
        <w:t>The indications below including FDA-approved indications and compendial uses are considered a covered benefit provided that all the approval criteria are met and the member has no exclusions to the prescribed therapy</w:t>
      </w:r>
      <w:r w:rsidR="007D09ED">
        <w:t>.</w:t>
      </w:r>
    </w:p>
    <w:p w14:paraId="134B5687" w14:textId="274EDABC" w:rsidR="00ED052F" w:rsidRPr="00BD1CC1" w:rsidRDefault="00ED052F" w:rsidP="00ED052F">
      <w:pPr>
        <w:pStyle w:val="Heading3"/>
        <w:keepNext w:val="0"/>
      </w:pPr>
      <w:r w:rsidRPr="00BD1CC1">
        <w:t>FDA-</w:t>
      </w:r>
      <w:r w:rsidR="00C82CAA">
        <w:t>A</w:t>
      </w:r>
      <w:r w:rsidRPr="00BD1CC1">
        <w:t>pproved Indications</w:t>
      </w:r>
      <w:r w:rsidR="00C82CAA" w:rsidRPr="00C82CAA">
        <w:rPr>
          <w:vertAlign w:val="superscript"/>
        </w:rPr>
        <w:t>1</w:t>
      </w:r>
    </w:p>
    <w:p w14:paraId="6BB21D3E" w14:textId="5F241BF9" w:rsidR="004A5E5C" w:rsidRPr="00632A36" w:rsidRDefault="004A5E5C" w:rsidP="00C82CAA">
      <w:pPr>
        <w:pStyle w:val="ListParagraph"/>
        <w:numPr>
          <w:ilvl w:val="0"/>
          <w:numId w:val="28"/>
        </w:numPr>
      </w:pPr>
      <w:r w:rsidRPr="00632A36">
        <w:t>Venclexta is indicated for the treatment of adult patients with chronic lymphocytic leukemia (CLL) or small lymphocytic lymphoma (SLL).</w:t>
      </w:r>
    </w:p>
    <w:p w14:paraId="4C434745" w14:textId="2B18CD0F" w:rsidR="00ED052F" w:rsidRPr="00632A36" w:rsidRDefault="004A5E5C" w:rsidP="00C82CAA">
      <w:pPr>
        <w:pStyle w:val="ListParagraph"/>
        <w:numPr>
          <w:ilvl w:val="0"/>
          <w:numId w:val="28"/>
        </w:numPr>
      </w:pPr>
      <w:r w:rsidRPr="00632A36">
        <w:t>Venclexta is indicated in combination with azacitidine, or decitabine, or low-dose cytarabine for the treatment of newly-diagnosed acute myeloid leukemia (AML) in adults 75 years or older, or who have comorbidities that preclude use of intensive induction chemotherapy</w:t>
      </w:r>
      <w:r w:rsidR="00ED052F" w:rsidRPr="00632A36">
        <w:t>.</w:t>
      </w:r>
    </w:p>
    <w:p w14:paraId="0B5EC236" w14:textId="08977A96" w:rsidR="0044763A" w:rsidRPr="00632A36" w:rsidRDefault="009F2EF1" w:rsidP="0044763A">
      <w:pPr>
        <w:pStyle w:val="Heading3"/>
      </w:pPr>
      <w:r w:rsidRPr="00632A36">
        <w:t>Compendial Uses</w:t>
      </w:r>
      <w:r w:rsidR="00C82CAA" w:rsidRPr="00632A36">
        <w:rPr>
          <w:vertAlign w:val="superscript"/>
        </w:rPr>
        <w:t>2-5</w:t>
      </w:r>
    </w:p>
    <w:p w14:paraId="754663EA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Mantle cell lymphoma (MCL)</w:t>
      </w:r>
    </w:p>
    <w:p w14:paraId="2873FCAC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Acute myeloid leukemia (AML)</w:t>
      </w:r>
    </w:p>
    <w:p w14:paraId="04B12549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Blastic plasmacytoid dendritic cell neoplasm (BPDCN)</w:t>
      </w:r>
    </w:p>
    <w:p w14:paraId="1AF009FC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Multiple myeloma (MM) with translocation t(11;14)</w:t>
      </w:r>
    </w:p>
    <w:p w14:paraId="05BBBF53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Systemic light chain amyloidosis (SLCA) with translocation t(11;14)</w:t>
      </w:r>
    </w:p>
    <w:p w14:paraId="0EA77E2A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lastRenderedPageBreak/>
        <w:t>Waldenström Macroglobulinemia/Lymphoplasmacytic Lymphoma (WM/LPL)</w:t>
      </w:r>
    </w:p>
    <w:p w14:paraId="4A9FCEC6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Myelodysplastic syndrome (MDS)</w:t>
      </w:r>
    </w:p>
    <w:p w14:paraId="6FCC60A3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Hairy cell leukemia</w:t>
      </w:r>
    </w:p>
    <w:p w14:paraId="0EA43DD6" w14:textId="77777777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Accelerated/blast phase myeloproliferative neoplasms</w:t>
      </w:r>
    </w:p>
    <w:p w14:paraId="4DE4EE84" w14:textId="066AF895" w:rsidR="00E95FB4" w:rsidRPr="00632A36" w:rsidRDefault="00E95FB4" w:rsidP="00C82CAA">
      <w:pPr>
        <w:pStyle w:val="ListParagraph"/>
        <w:numPr>
          <w:ilvl w:val="0"/>
          <w:numId w:val="29"/>
        </w:numPr>
      </w:pPr>
      <w:r w:rsidRPr="00632A36">
        <w:t>B-cell Acute Lymphoblastic Leukemia/T-cell Acute Lymphoblastic Leukemia (B-ALL/T-ALL)</w:t>
      </w:r>
    </w:p>
    <w:p w14:paraId="78FA6F02" w14:textId="1216A18C" w:rsidR="00810ADC" w:rsidRPr="00722228" w:rsidRDefault="00810ADC" w:rsidP="00C82CAA">
      <w:pPr>
        <w:pStyle w:val="ListParagraph"/>
        <w:numPr>
          <w:ilvl w:val="0"/>
          <w:numId w:val="29"/>
        </w:numPr>
      </w:pPr>
      <w:r w:rsidRPr="00632A36">
        <w:t>Chronic lymphocytic leukemia/small lymphocytic lymphoma (CLL/SLL)</w:t>
      </w:r>
    </w:p>
    <w:p w14:paraId="1E07D1F7" w14:textId="65060A25" w:rsidR="0028043F" w:rsidRPr="00632A36" w:rsidRDefault="0028043F" w:rsidP="00C82CAA">
      <w:pPr>
        <w:pStyle w:val="ListParagraph"/>
        <w:numPr>
          <w:ilvl w:val="0"/>
          <w:numId w:val="29"/>
        </w:numPr>
      </w:pPr>
      <w:r w:rsidRPr="00632A36">
        <w:t>C</w:t>
      </w:r>
      <w:r w:rsidRPr="00036091">
        <w:t>hronic myelomonocytic leukemia (CMML)-</w:t>
      </w:r>
      <w:r w:rsidR="00AE170C" w:rsidRPr="00632A36">
        <w:t>2</w:t>
      </w:r>
    </w:p>
    <w:p w14:paraId="0D5A9DD5" w14:textId="38544510" w:rsidR="009A5649" w:rsidRPr="00632A36" w:rsidRDefault="00E95FB4" w:rsidP="00E95FB4">
      <w:pPr>
        <w:pStyle w:val="BodyText"/>
      </w:pPr>
      <w:r w:rsidRPr="00632A36">
        <w:t>All other indications are considered experimental/investigational and not medically necessary.</w:t>
      </w:r>
    </w:p>
    <w:p w14:paraId="36381B6D" w14:textId="11FDB489" w:rsidR="000D2496" w:rsidRPr="00632A36" w:rsidRDefault="000D2496" w:rsidP="000D2496">
      <w:pPr>
        <w:pStyle w:val="Heading2"/>
      </w:pPr>
      <w:r w:rsidRPr="00632A36">
        <w:t>Documentation</w:t>
      </w:r>
    </w:p>
    <w:p w14:paraId="2180ED6E" w14:textId="13EA3934" w:rsidR="000D2496" w:rsidRPr="00632A36" w:rsidRDefault="00023FA0" w:rsidP="000D2496">
      <w:pPr>
        <w:pStyle w:val="BodyText"/>
      </w:pPr>
      <w:r w:rsidRPr="00632A36">
        <w:t>Submission of the following information is necessary to initiate the prior authorization review: Documentation of the presence of translocation t(11;14) and TP53-mutation (where applicable).</w:t>
      </w:r>
    </w:p>
    <w:p w14:paraId="7DDAC4FC" w14:textId="3C09B3FC" w:rsidR="00016A2E" w:rsidRPr="00632A36" w:rsidRDefault="00C82CAA">
      <w:pPr>
        <w:pStyle w:val="Heading2"/>
        <w:rPr>
          <w:rFonts w:eastAsia="Arial"/>
        </w:rPr>
      </w:pPr>
      <w:r w:rsidRPr="00632A36">
        <w:rPr>
          <w:rFonts w:eastAsia="Arial"/>
        </w:rPr>
        <w:t>Coverage Criteria</w:t>
      </w:r>
    </w:p>
    <w:p w14:paraId="34F3BEA9" w14:textId="1C15EB99" w:rsidR="0085356E" w:rsidRPr="00632A36" w:rsidRDefault="0085356E" w:rsidP="00C82CAA">
      <w:pPr>
        <w:pStyle w:val="Heading3"/>
      </w:pPr>
      <w:r w:rsidRPr="00632A36">
        <w:t>Chronic Lymphocytic Leukemia/Small Lymphocytic Lymphoma (CLL/SLL)</w:t>
      </w:r>
      <w:r w:rsidRPr="00632A36">
        <w:rPr>
          <w:vertAlign w:val="superscript"/>
        </w:rPr>
        <w:t>1,2</w:t>
      </w:r>
    </w:p>
    <w:p w14:paraId="383C27F3" w14:textId="1BA130D2" w:rsidR="00D55CA6" w:rsidRPr="00632A36" w:rsidRDefault="0085356E" w:rsidP="00C82CAA">
      <w:pPr>
        <w:pStyle w:val="BodyText"/>
      </w:pPr>
      <w:r w:rsidRPr="00632A36">
        <w:t>Authorization of 12 months may be granted for treatment of chronic lymphocytic leukemia/small lymphocytic lymphoma (CLL/SLL) when</w:t>
      </w:r>
      <w:r w:rsidR="00D55CA6" w:rsidRPr="00632A36">
        <w:t xml:space="preserve"> either of the following is met:</w:t>
      </w:r>
    </w:p>
    <w:p w14:paraId="2424761F" w14:textId="77777777" w:rsidR="00D55CA6" w:rsidRDefault="00D55CA6" w:rsidP="00D55CA6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 xml:space="preserve">The requested medication will be </w:t>
      </w:r>
      <w:r w:rsidR="0085356E" w:rsidRPr="00632A36">
        <w:rPr>
          <w:rFonts w:eastAsia="Arial"/>
        </w:rPr>
        <w:t>used as monotherapy, in combination with rituximab (Rituxan), or in combination with obinutuzumab (Gazyva)</w:t>
      </w:r>
      <w:r w:rsidRPr="00632A36">
        <w:rPr>
          <w:rFonts w:eastAsia="Arial"/>
        </w:rPr>
        <w:t>, or</w:t>
      </w:r>
    </w:p>
    <w:p w14:paraId="717EE5B0" w14:textId="40813C10" w:rsidR="00097EF2" w:rsidRDefault="00D55CA6" w:rsidP="00F9750E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 xml:space="preserve">The requested medication will </w:t>
      </w:r>
      <w:r w:rsidR="00732BE8" w:rsidRPr="00632A36">
        <w:rPr>
          <w:rFonts w:eastAsia="Arial"/>
        </w:rPr>
        <w:t xml:space="preserve">be </w:t>
      </w:r>
      <w:r w:rsidRPr="00632A36">
        <w:rPr>
          <w:rFonts w:eastAsia="Arial"/>
        </w:rPr>
        <w:t xml:space="preserve">used as first line therapy </w:t>
      </w:r>
      <w:r w:rsidR="00D911CE">
        <w:rPr>
          <w:rFonts w:eastAsia="Arial"/>
        </w:rPr>
        <w:t xml:space="preserve">in combination with </w:t>
      </w:r>
      <w:r w:rsidR="00097EF2">
        <w:rPr>
          <w:rFonts w:eastAsia="Arial"/>
        </w:rPr>
        <w:t>either of the following</w:t>
      </w:r>
      <w:r w:rsidR="00D911CE">
        <w:rPr>
          <w:rFonts w:eastAsia="Arial"/>
        </w:rPr>
        <w:t xml:space="preserve"> regimens</w:t>
      </w:r>
      <w:r w:rsidR="00097EF2">
        <w:rPr>
          <w:rFonts w:eastAsia="Arial"/>
        </w:rPr>
        <w:t xml:space="preserve">: </w:t>
      </w:r>
    </w:p>
    <w:p w14:paraId="119F66F4" w14:textId="26897221" w:rsidR="00097EF2" w:rsidRDefault="00097EF2" w:rsidP="00097EF2">
      <w:pPr>
        <w:pStyle w:val="ListParagraph"/>
        <w:numPr>
          <w:ilvl w:val="1"/>
          <w:numId w:val="30"/>
        </w:numPr>
        <w:rPr>
          <w:rFonts w:eastAsia="Arial"/>
        </w:rPr>
      </w:pPr>
      <w:r>
        <w:rPr>
          <w:rFonts w:eastAsia="Arial"/>
        </w:rPr>
        <w:t>acalabrutinib (</w:t>
      </w:r>
      <w:proofErr w:type="spellStart"/>
      <w:r>
        <w:rPr>
          <w:rFonts w:eastAsia="Arial"/>
        </w:rPr>
        <w:t>Calquence</w:t>
      </w:r>
      <w:proofErr w:type="spellEnd"/>
      <w:r>
        <w:rPr>
          <w:rFonts w:eastAsia="Arial"/>
        </w:rPr>
        <w:t>) with or without obinutuzumab</w:t>
      </w:r>
      <w:r w:rsidR="00D911CE">
        <w:rPr>
          <w:rFonts w:eastAsia="Arial"/>
        </w:rPr>
        <w:t>, or</w:t>
      </w:r>
    </w:p>
    <w:p w14:paraId="05E63BEE" w14:textId="50D0FE43" w:rsidR="0085356E" w:rsidRPr="00632A36" w:rsidRDefault="00DD6BB0" w:rsidP="00243CC1">
      <w:pPr>
        <w:pStyle w:val="ListParagraph"/>
        <w:numPr>
          <w:ilvl w:val="1"/>
          <w:numId w:val="30"/>
        </w:numPr>
        <w:rPr>
          <w:rFonts w:eastAsia="Arial"/>
        </w:rPr>
      </w:pPr>
      <w:r w:rsidRPr="00632A36">
        <w:rPr>
          <w:rFonts w:eastAsia="Arial"/>
        </w:rPr>
        <w:t>ibrutinib (Imbruvica).</w:t>
      </w:r>
    </w:p>
    <w:p w14:paraId="49120E4D" w14:textId="41B678C0" w:rsidR="0085356E" w:rsidRPr="00632A36" w:rsidRDefault="0085356E" w:rsidP="00C82CAA">
      <w:pPr>
        <w:pStyle w:val="Heading3"/>
      </w:pPr>
      <w:r w:rsidRPr="00632A36">
        <w:t>Newly</w:t>
      </w:r>
      <w:r w:rsidR="00C82CAA" w:rsidRPr="00632A36">
        <w:t xml:space="preserve">-Diagnosed </w:t>
      </w:r>
      <w:r w:rsidRPr="00632A36">
        <w:t>Acute Myeloid Leukemia (AML)</w:t>
      </w:r>
      <w:r w:rsidRPr="00632A36">
        <w:rPr>
          <w:vertAlign w:val="superscript"/>
        </w:rPr>
        <w:t>1,2,5</w:t>
      </w:r>
    </w:p>
    <w:p w14:paraId="54BB735E" w14:textId="0707D452" w:rsidR="0085356E" w:rsidRPr="00632A36" w:rsidRDefault="0085356E" w:rsidP="0085356E">
      <w:pPr>
        <w:pStyle w:val="BodyText"/>
      </w:pPr>
      <w:r w:rsidRPr="00632A36">
        <w:t>Authorization of 12 months may be granted for treatment of newly-diagnosed acute myeloid leukemia (AML) when used in combination with decitabine, azacitidine, or low-dose cytarabine</w:t>
      </w:r>
      <w:r w:rsidR="00187B98" w:rsidRPr="00632A36">
        <w:t xml:space="preserve"> </w:t>
      </w:r>
      <w:r w:rsidRPr="00632A36">
        <w:t>and one of the following is met:</w:t>
      </w:r>
    </w:p>
    <w:p w14:paraId="3645BD5B" w14:textId="5366FC6E" w:rsidR="0085356E" w:rsidRPr="00632A36" w:rsidRDefault="0085356E" w:rsidP="0050693D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>The member is 75 years of age or older.</w:t>
      </w:r>
    </w:p>
    <w:p w14:paraId="2C7E2E97" w14:textId="4A9EBF57" w:rsidR="0085356E" w:rsidRPr="00632A36" w:rsidRDefault="0085356E" w:rsidP="0050693D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>The member has comorbidities that preclude treatment with intensive induction chemotherapy or is not a candidate for</w:t>
      </w:r>
      <w:r w:rsidR="00CD1E4E">
        <w:rPr>
          <w:rFonts w:eastAsia="Arial"/>
        </w:rPr>
        <w:t xml:space="preserve"> or declines</w:t>
      </w:r>
      <w:r w:rsidRPr="00632A36">
        <w:rPr>
          <w:rFonts w:eastAsia="Arial"/>
        </w:rPr>
        <w:t xml:space="preserve"> intensive induction therapy.</w:t>
      </w:r>
    </w:p>
    <w:p w14:paraId="75354024" w14:textId="3EF90C72" w:rsidR="0085356E" w:rsidRPr="00632A36" w:rsidRDefault="0085356E" w:rsidP="00D55CA6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 xml:space="preserve">The member </w:t>
      </w:r>
      <w:r w:rsidR="00D808AA" w:rsidRPr="00632A36">
        <w:rPr>
          <w:rFonts w:eastAsia="Arial"/>
        </w:rPr>
        <w:t>has poor/adverse risk disease and is a candidate for intensive induction therapy.</w:t>
      </w:r>
    </w:p>
    <w:p w14:paraId="16EAADFA" w14:textId="7820BFC1" w:rsidR="0085356E" w:rsidRPr="00632A36" w:rsidRDefault="0085356E" w:rsidP="0050693D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lastRenderedPageBreak/>
        <w:t>The member will use Venclexta in a post-induction therapy regimen following response to a Venclexta-based regimen.</w:t>
      </w:r>
    </w:p>
    <w:p w14:paraId="40B95598" w14:textId="2A9BF966" w:rsidR="0085356E" w:rsidRPr="00632A36" w:rsidRDefault="0085356E" w:rsidP="00C82CAA">
      <w:pPr>
        <w:pStyle w:val="Heading3"/>
      </w:pPr>
      <w:r w:rsidRPr="00632A36">
        <w:t>Relapsed or Refractory Acute Myeloid Leukemia (AML)</w:t>
      </w:r>
      <w:r w:rsidRPr="00632A36">
        <w:rPr>
          <w:vertAlign w:val="superscript"/>
        </w:rPr>
        <w:t>2</w:t>
      </w:r>
    </w:p>
    <w:p w14:paraId="4CD8E7F0" w14:textId="1C5138D2" w:rsidR="00187B98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treatment of relapsed or refractory acute myeloid leukemia</w:t>
      </w:r>
      <w:r w:rsidR="00C00E06">
        <w:rPr>
          <w:rFonts w:eastAsia="Arial"/>
        </w:rPr>
        <w:t xml:space="preserve"> and</w:t>
      </w:r>
      <w:r w:rsidR="00187B98" w:rsidRPr="00632A36">
        <w:rPr>
          <w:rFonts w:eastAsia="Arial"/>
        </w:rPr>
        <w:t xml:space="preserve"> one of the following is met: </w:t>
      </w:r>
    </w:p>
    <w:p w14:paraId="2F078366" w14:textId="21DDF9D1" w:rsidR="00187B98" w:rsidRPr="00632A36" w:rsidRDefault="00187B98" w:rsidP="00187B98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>The request medication will be used</w:t>
      </w:r>
      <w:r w:rsidR="0085356E" w:rsidRPr="00632A36">
        <w:rPr>
          <w:rFonts w:eastAsia="Arial"/>
        </w:rPr>
        <w:t xml:space="preserve"> in combination with azacitidine, decitabine or low-dose cytarabine</w:t>
      </w:r>
      <w:r w:rsidRPr="00632A36">
        <w:rPr>
          <w:rFonts w:eastAsia="Arial"/>
        </w:rPr>
        <w:t>, or</w:t>
      </w:r>
    </w:p>
    <w:p w14:paraId="2115776C" w14:textId="5BC58890" w:rsidR="0085356E" w:rsidRPr="00632A36" w:rsidRDefault="00187B98" w:rsidP="00187B98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 xml:space="preserve">The request medication will be used in combination with </w:t>
      </w:r>
      <w:r w:rsidRPr="00036091">
        <w:rPr>
          <w:rFonts w:eastAsia="Arial"/>
        </w:rPr>
        <w:t>fludarabine, cytarabine, a granulocyte colony-stimulating factor (G-CSF)</w:t>
      </w:r>
      <w:r w:rsidRPr="00632A36">
        <w:rPr>
          <w:rFonts w:eastAsia="Arial"/>
        </w:rPr>
        <w:t xml:space="preserve">, and </w:t>
      </w:r>
      <w:r w:rsidRPr="00036091">
        <w:rPr>
          <w:rFonts w:eastAsia="Arial"/>
        </w:rPr>
        <w:t>with or without idarubicin</w:t>
      </w:r>
      <w:r w:rsidRPr="00632A36">
        <w:rPr>
          <w:rFonts w:eastAsia="Arial"/>
        </w:rPr>
        <w:t xml:space="preserve"> or</w:t>
      </w:r>
    </w:p>
    <w:p w14:paraId="13336CCE" w14:textId="115DE3CF" w:rsidR="00187B98" w:rsidRPr="00632A36" w:rsidRDefault="00187B98" w:rsidP="00036091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 xml:space="preserve">The request medication will be used in combination with </w:t>
      </w:r>
      <w:r w:rsidRPr="00036091">
        <w:rPr>
          <w:rFonts w:eastAsia="Arial"/>
        </w:rPr>
        <w:t>cladribine, idarubicin, and cytarabine</w:t>
      </w:r>
      <w:r w:rsidRPr="00632A36">
        <w:rPr>
          <w:rFonts w:eastAsia="Arial"/>
        </w:rPr>
        <w:t>.</w:t>
      </w:r>
    </w:p>
    <w:p w14:paraId="59DF012D" w14:textId="7677F0F4" w:rsidR="0085356E" w:rsidRPr="00632A36" w:rsidRDefault="0085356E" w:rsidP="00C82CAA">
      <w:pPr>
        <w:pStyle w:val="Heading3"/>
      </w:pPr>
      <w:r w:rsidRPr="00632A36">
        <w:t>Mantle Cell Lymphoma (MCL)</w:t>
      </w:r>
      <w:r w:rsidRPr="00632A36">
        <w:rPr>
          <w:vertAlign w:val="superscript"/>
        </w:rPr>
        <w:t>2</w:t>
      </w:r>
    </w:p>
    <w:p w14:paraId="6B7B4F77" w14:textId="4414DAA6" w:rsidR="00D808AA" w:rsidRPr="00632A36" w:rsidRDefault="0085356E" w:rsidP="00D55CA6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treatment of mantle cell lymphoma</w:t>
      </w:r>
      <w:r w:rsidR="00D808AA" w:rsidRPr="00632A36">
        <w:rPr>
          <w:rFonts w:ascii="Arial" w:hAnsi="Arial"/>
          <w:sz w:val="20"/>
        </w:rPr>
        <w:t xml:space="preserve"> </w:t>
      </w:r>
      <w:r w:rsidR="00D808AA" w:rsidRPr="00632A36">
        <w:rPr>
          <w:rFonts w:eastAsia="Arial"/>
        </w:rPr>
        <w:t>when one of the following is met:</w:t>
      </w:r>
    </w:p>
    <w:p w14:paraId="74A48728" w14:textId="77777777" w:rsidR="00D808AA" w:rsidRPr="00632A36" w:rsidRDefault="00D808AA" w:rsidP="00D55CA6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>The requested medication will be used as subsequent treatment and as a single agent or in combination with rituximab or ibrutinib, or</w:t>
      </w:r>
    </w:p>
    <w:p w14:paraId="5B3D0119" w14:textId="289C9B61" w:rsidR="0085356E" w:rsidRPr="00632A36" w:rsidRDefault="00D808AA" w:rsidP="00D55CA6">
      <w:pPr>
        <w:pStyle w:val="ListParagraph"/>
        <w:numPr>
          <w:ilvl w:val="0"/>
          <w:numId w:val="30"/>
        </w:numPr>
        <w:rPr>
          <w:rFonts w:eastAsia="Arial"/>
        </w:rPr>
      </w:pPr>
      <w:r w:rsidRPr="00632A36">
        <w:rPr>
          <w:rFonts w:eastAsia="Arial"/>
        </w:rPr>
        <w:t>The requested medication will be used as induction therapy for TP53 mutated disease and in combination with obinutuzumab (Gazyva) and zanubrutinib (Brukinsa).</w:t>
      </w:r>
    </w:p>
    <w:p w14:paraId="5641442D" w14:textId="080785BF" w:rsidR="0085356E" w:rsidRPr="00632A36" w:rsidRDefault="00C82CAA" w:rsidP="00C82CAA">
      <w:pPr>
        <w:pStyle w:val="Heading3"/>
      </w:pPr>
      <w:r w:rsidRPr="00632A36">
        <w:t xml:space="preserve">Blastic Plasmacytoid Dendritic Cell Neoplasm </w:t>
      </w:r>
      <w:r w:rsidR="0085356E" w:rsidRPr="00632A36">
        <w:t>(BPDCN)</w:t>
      </w:r>
      <w:r w:rsidR="0085356E" w:rsidRPr="00632A36">
        <w:rPr>
          <w:vertAlign w:val="superscript"/>
        </w:rPr>
        <w:t>2</w:t>
      </w:r>
    </w:p>
    <w:p w14:paraId="20E155C8" w14:textId="77777777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BPDCN, in combination with azacitidine, decitabine or low-dose cytarabine.</w:t>
      </w:r>
    </w:p>
    <w:p w14:paraId="66FDC090" w14:textId="3664F576" w:rsidR="0085356E" w:rsidRPr="00632A36" w:rsidRDefault="00C82CAA" w:rsidP="00C82CAA">
      <w:pPr>
        <w:pStyle w:val="Heading3"/>
      </w:pPr>
      <w:r w:rsidRPr="00632A36">
        <w:t>Multiple Myeloma (MM)</w:t>
      </w:r>
      <w:r w:rsidRPr="00632A36">
        <w:rPr>
          <w:vertAlign w:val="superscript"/>
        </w:rPr>
        <w:t>2-4</w:t>
      </w:r>
    </w:p>
    <w:p w14:paraId="2FD15291" w14:textId="77777777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treatment of relapsed or progressive multiple myeloma, in combination with dexamethasone and with or without daratumumab or daratumumab and hyaluronidase-fihj or a proteasome inhibitor (e.g., bortezomib, carfilzomib, ixazomib) in members with translocation t(11;14).</w:t>
      </w:r>
    </w:p>
    <w:p w14:paraId="5BEA9B5B" w14:textId="0158CCE6" w:rsidR="0085356E" w:rsidRPr="00632A36" w:rsidRDefault="0085356E" w:rsidP="00C82CAA">
      <w:pPr>
        <w:pStyle w:val="Heading3"/>
      </w:pPr>
      <w:r w:rsidRPr="00632A36">
        <w:t xml:space="preserve">Systemic </w:t>
      </w:r>
      <w:r w:rsidR="00C82CAA" w:rsidRPr="00632A36">
        <w:t>Light Chain Amyloidosis (</w:t>
      </w:r>
      <w:r w:rsidRPr="00632A36">
        <w:t>SLCA</w:t>
      </w:r>
      <w:r w:rsidR="00C82CAA" w:rsidRPr="00632A36">
        <w:t>)</w:t>
      </w:r>
      <w:r w:rsidR="00C82CAA" w:rsidRPr="00632A36">
        <w:rPr>
          <w:vertAlign w:val="superscript"/>
        </w:rPr>
        <w:t>2</w:t>
      </w:r>
    </w:p>
    <w:p w14:paraId="5256DCE8" w14:textId="77777777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treatment of relapsed or refractory systemic light chain amyloidosis with translocation t(11;14), as a single agent or in combination with dexamethasone.</w:t>
      </w:r>
    </w:p>
    <w:p w14:paraId="778D57A3" w14:textId="58C5D0F9" w:rsidR="0085356E" w:rsidRPr="00632A36" w:rsidRDefault="00C82CAA" w:rsidP="00C82CAA">
      <w:pPr>
        <w:pStyle w:val="Heading3"/>
      </w:pPr>
      <w:r w:rsidRPr="00632A36">
        <w:lastRenderedPageBreak/>
        <w:t>Waldenström Macroglobulinemia/Lymphoplasmacytic Lymphoma (W</w:t>
      </w:r>
      <w:r w:rsidR="0050693D" w:rsidRPr="00632A36">
        <w:t>M</w:t>
      </w:r>
      <w:r w:rsidRPr="00632A36">
        <w:t>/L</w:t>
      </w:r>
      <w:r w:rsidR="0050693D" w:rsidRPr="00632A36">
        <w:t>PL</w:t>
      </w:r>
      <w:r w:rsidRPr="00632A36">
        <w:t>)</w:t>
      </w:r>
      <w:r w:rsidRPr="00632A36">
        <w:rPr>
          <w:vertAlign w:val="superscript"/>
        </w:rPr>
        <w:t>2</w:t>
      </w:r>
    </w:p>
    <w:p w14:paraId="04680520" w14:textId="77777777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subsequent treatment of Waldenström Macroglobulinemia/Lymphoplasmacytic Lymphoma, as a single agent.</w:t>
      </w:r>
    </w:p>
    <w:p w14:paraId="0477D492" w14:textId="4FBEAC26" w:rsidR="0085356E" w:rsidRPr="00632A36" w:rsidRDefault="0085356E" w:rsidP="00C82CAA">
      <w:pPr>
        <w:pStyle w:val="Heading3"/>
      </w:pPr>
      <w:r w:rsidRPr="00632A36">
        <w:t xml:space="preserve">Myelodysplastic </w:t>
      </w:r>
      <w:r w:rsidR="00C82CAA" w:rsidRPr="00632A36">
        <w:t>Syndrome (</w:t>
      </w:r>
      <w:r w:rsidRPr="00632A36">
        <w:t>MDS</w:t>
      </w:r>
      <w:r w:rsidR="00C82CAA" w:rsidRPr="00632A36">
        <w:t>)</w:t>
      </w:r>
      <w:r w:rsidR="0028043F" w:rsidRPr="00036091">
        <w:rPr>
          <w:vertAlign w:val="superscript"/>
        </w:rPr>
        <w:t>2,</w:t>
      </w:r>
      <w:r w:rsidR="00C82CAA" w:rsidRPr="00632A36">
        <w:rPr>
          <w:vertAlign w:val="superscript"/>
        </w:rPr>
        <w:t>3</w:t>
      </w:r>
    </w:p>
    <w:p w14:paraId="04229EAA" w14:textId="670513E3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 xml:space="preserve">Authorization of 12 months may be granted for treatment of </w:t>
      </w:r>
      <w:r w:rsidR="0028043F" w:rsidRPr="00036091">
        <w:rPr>
          <w:rFonts w:eastAsia="Arial"/>
        </w:rPr>
        <w:t xml:space="preserve">higher risk (e.g., International Prognostic Scoring System-Revised (IPSS-R) intermediate, high and very high risk disease) </w:t>
      </w:r>
      <w:r w:rsidRPr="00632A36">
        <w:rPr>
          <w:rFonts w:eastAsia="Arial"/>
        </w:rPr>
        <w:t>MDS, in combination with azacitidine or decitabine.</w:t>
      </w:r>
    </w:p>
    <w:p w14:paraId="50A1AB8C" w14:textId="42DACF5E" w:rsidR="0085356E" w:rsidRPr="00632A36" w:rsidRDefault="0085356E" w:rsidP="006931EA">
      <w:pPr>
        <w:pStyle w:val="Heading3"/>
        <w:widowControl w:val="0"/>
      </w:pPr>
      <w:r w:rsidRPr="00632A36">
        <w:t xml:space="preserve">Hairy </w:t>
      </w:r>
      <w:r w:rsidR="00C82CAA" w:rsidRPr="00632A36">
        <w:t>Cell Leukemia</w:t>
      </w:r>
      <w:r w:rsidR="00C82CAA" w:rsidRPr="00632A36">
        <w:rPr>
          <w:vertAlign w:val="superscript"/>
        </w:rPr>
        <w:t>2</w:t>
      </w:r>
    </w:p>
    <w:p w14:paraId="653F06CE" w14:textId="1ECC058B" w:rsidR="0085356E" w:rsidRPr="00632A36" w:rsidRDefault="0085356E" w:rsidP="006931EA">
      <w:pPr>
        <w:pStyle w:val="BodyText"/>
        <w:widowControl w:val="0"/>
        <w:rPr>
          <w:rFonts w:eastAsia="Arial"/>
        </w:rPr>
      </w:pPr>
      <w:r w:rsidRPr="00632A36">
        <w:rPr>
          <w:rFonts w:eastAsia="Arial"/>
        </w:rPr>
        <w:t>Authorization of 12 months may be granted for treatment of relapsed or refractory hairy cell leukemia, as a single agent or in combination with rituximab, when all of the following are met:</w:t>
      </w:r>
    </w:p>
    <w:p w14:paraId="3DF4EAB9" w14:textId="77ABC377" w:rsidR="0085356E" w:rsidRPr="00632A36" w:rsidRDefault="0085356E" w:rsidP="00C65A83">
      <w:pPr>
        <w:pStyle w:val="ListParagraph"/>
        <w:rPr>
          <w:rFonts w:eastAsia="Arial"/>
        </w:rPr>
      </w:pPr>
      <w:r w:rsidRPr="00632A36">
        <w:rPr>
          <w:rFonts w:eastAsia="Arial"/>
        </w:rPr>
        <w:t>Member has progressed on previous therapy for relapsed or refractory disease AND</w:t>
      </w:r>
    </w:p>
    <w:p w14:paraId="77DD8588" w14:textId="636EA479" w:rsidR="0085356E" w:rsidRPr="00632A36" w:rsidRDefault="0085356E" w:rsidP="00C65A83">
      <w:pPr>
        <w:pStyle w:val="ListParagraph"/>
        <w:rPr>
          <w:rFonts w:eastAsia="Arial"/>
        </w:rPr>
      </w:pPr>
      <w:r w:rsidRPr="00632A36">
        <w:rPr>
          <w:rFonts w:eastAsia="Arial"/>
        </w:rPr>
        <w:t>Member has disease resistant to BRAF inhibitor therapy</w:t>
      </w:r>
      <w:r w:rsidR="00AE170C" w:rsidRPr="00632A36">
        <w:rPr>
          <w:rFonts w:eastAsia="Arial"/>
        </w:rPr>
        <w:t>.</w:t>
      </w:r>
    </w:p>
    <w:p w14:paraId="4EDCD001" w14:textId="02224226" w:rsidR="0085356E" w:rsidRPr="00632A36" w:rsidRDefault="0085356E" w:rsidP="00C82CAA">
      <w:pPr>
        <w:pStyle w:val="Heading3"/>
      </w:pPr>
      <w:r w:rsidRPr="00632A36">
        <w:t xml:space="preserve">Myeloproliferative </w:t>
      </w:r>
      <w:r w:rsidR="00C82CAA" w:rsidRPr="00632A36">
        <w:t>Neoplasms</w:t>
      </w:r>
      <w:r w:rsidR="00C82CAA" w:rsidRPr="00632A36">
        <w:rPr>
          <w:vertAlign w:val="superscript"/>
        </w:rPr>
        <w:t>2</w:t>
      </w:r>
    </w:p>
    <w:p w14:paraId="08248ABC" w14:textId="77777777" w:rsidR="0085356E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the management of disease progression of accelerated/blast phase myeloproliferative neoplasms when used in combination with azacitidine or decitabine.</w:t>
      </w:r>
    </w:p>
    <w:p w14:paraId="61B7F7AF" w14:textId="1FA12974" w:rsidR="0085356E" w:rsidRPr="00632A36" w:rsidRDefault="0085356E" w:rsidP="00C82CAA">
      <w:pPr>
        <w:pStyle w:val="Heading3"/>
      </w:pPr>
      <w:r w:rsidRPr="00632A36">
        <w:t>B</w:t>
      </w:r>
      <w:r w:rsidR="00C82CAA" w:rsidRPr="00632A36">
        <w:t>-Cell Acute Lymphoblastic Leukemia/</w:t>
      </w:r>
      <w:r w:rsidRPr="00632A36">
        <w:t>T</w:t>
      </w:r>
      <w:r w:rsidR="00C82CAA" w:rsidRPr="00632A36">
        <w:t>-Cell Acute Lymphoblastic Leukemia (</w:t>
      </w:r>
      <w:r w:rsidRPr="00632A36">
        <w:t>B</w:t>
      </w:r>
      <w:r w:rsidR="00C82CAA" w:rsidRPr="00632A36">
        <w:t>-</w:t>
      </w:r>
      <w:r w:rsidRPr="00632A36">
        <w:t>ALL</w:t>
      </w:r>
      <w:r w:rsidR="00C82CAA" w:rsidRPr="00632A36">
        <w:t>/</w:t>
      </w:r>
      <w:r w:rsidRPr="00632A36">
        <w:t>T</w:t>
      </w:r>
      <w:r w:rsidR="00C82CAA" w:rsidRPr="00632A36">
        <w:t>-</w:t>
      </w:r>
      <w:r w:rsidRPr="00632A36">
        <w:t>ALL</w:t>
      </w:r>
      <w:r w:rsidR="00C82CAA" w:rsidRPr="00632A36">
        <w:t>)</w:t>
      </w:r>
      <w:r w:rsidR="00C82CAA" w:rsidRPr="00632A36">
        <w:rPr>
          <w:vertAlign w:val="superscript"/>
        </w:rPr>
        <w:t>2</w:t>
      </w:r>
    </w:p>
    <w:p w14:paraId="43D03ECB" w14:textId="1B019322" w:rsidR="00EC714B" w:rsidRPr="00632A36" w:rsidRDefault="0085356E" w:rsidP="0085356E">
      <w:pPr>
        <w:pStyle w:val="BodyText"/>
        <w:rPr>
          <w:rFonts w:eastAsia="Arial"/>
        </w:rPr>
      </w:pPr>
      <w:r w:rsidRPr="00632A36">
        <w:rPr>
          <w:rFonts w:eastAsia="Arial"/>
        </w:rPr>
        <w:t>Authorization of 12 months may be granted for the treatment of relapsed or refractory B-cell acute lymphoblastic leukemia/T-cell acute lymphoblastic leukemia (B-ALL/T-ALL) when used in combination with vincristine, pegaspargase or calaspargase, and prednisone or dexamethasone.</w:t>
      </w:r>
    </w:p>
    <w:p w14:paraId="11CCDF55" w14:textId="5C755DC6" w:rsidR="0028043F" w:rsidRPr="00632A36" w:rsidRDefault="0028043F" w:rsidP="0028043F">
      <w:pPr>
        <w:pStyle w:val="Heading3"/>
      </w:pPr>
      <w:r w:rsidRPr="00632A36">
        <w:t xml:space="preserve">Chronic </w:t>
      </w:r>
      <w:r w:rsidR="00AE170C" w:rsidRPr="00036091">
        <w:t>M</w:t>
      </w:r>
      <w:r w:rsidRPr="00632A36">
        <w:t xml:space="preserve">yelomonocytic </w:t>
      </w:r>
      <w:r w:rsidR="00AE170C" w:rsidRPr="00036091">
        <w:t>L</w:t>
      </w:r>
      <w:r w:rsidRPr="00632A36">
        <w:t>eukemia (CMML)-2</w:t>
      </w:r>
      <w:r w:rsidRPr="00036091">
        <w:rPr>
          <w:vertAlign w:val="superscript"/>
        </w:rPr>
        <w:t>2</w:t>
      </w:r>
    </w:p>
    <w:p w14:paraId="106448A0" w14:textId="5D8C3D1A" w:rsidR="0028043F" w:rsidRPr="00632A36" w:rsidRDefault="0028043F" w:rsidP="0085356E">
      <w:pPr>
        <w:pStyle w:val="BodyText"/>
        <w:rPr>
          <w:rFonts w:eastAsia="Arial"/>
        </w:rPr>
      </w:pPr>
      <w:r w:rsidRPr="00036091">
        <w:rPr>
          <w:rFonts w:eastAsia="Arial"/>
        </w:rPr>
        <w:t xml:space="preserve">Authorization of 12 months may be granted for CMML-2, in combination with </w:t>
      </w:r>
      <w:r w:rsidRPr="00632A36">
        <w:rPr>
          <w:rFonts w:eastAsia="Arial"/>
        </w:rPr>
        <w:t>a hypomethylating agent</w:t>
      </w:r>
      <w:r w:rsidR="005A602D">
        <w:rPr>
          <w:rFonts w:eastAsia="Arial"/>
        </w:rPr>
        <w:t xml:space="preserve"> (e.g., </w:t>
      </w:r>
      <w:r w:rsidR="005A602D" w:rsidRPr="00632A36">
        <w:rPr>
          <w:rFonts w:eastAsia="Arial"/>
        </w:rPr>
        <w:t>azacitidine</w:t>
      </w:r>
      <w:r w:rsidR="005A602D">
        <w:rPr>
          <w:rFonts w:eastAsia="Arial"/>
        </w:rPr>
        <w:t xml:space="preserve">, </w:t>
      </w:r>
      <w:r w:rsidR="005A602D" w:rsidRPr="00632A36">
        <w:rPr>
          <w:rFonts w:eastAsia="Arial"/>
        </w:rPr>
        <w:t>decitabine</w:t>
      </w:r>
      <w:r w:rsidR="005A602D">
        <w:rPr>
          <w:rFonts w:eastAsia="Arial"/>
        </w:rPr>
        <w:t>)</w:t>
      </w:r>
      <w:r w:rsidRPr="00632A36">
        <w:rPr>
          <w:rFonts w:eastAsia="Arial"/>
        </w:rPr>
        <w:t>.</w:t>
      </w:r>
    </w:p>
    <w:p w14:paraId="3A643EC3" w14:textId="2E569936" w:rsidR="00A501AC" w:rsidRPr="00632A36" w:rsidRDefault="00A501AC" w:rsidP="00A501AC">
      <w:pPr>
        <w:pStyle w:val="Heading2"/>
      </w:pPr>
      <w:r w:rsidRPr="00632A36">
        <w:lastRenderedPageBreak/>
        <w:t>Continuation of Therapy</w:t>
      </w:r>
    </w:p>
    <w:p w14:paraId="32C8905D" w14:textId="5CD576F8" w:rsidR="00A501AC" w:rsidRDefault="000E395D" w:rsidP="003D46B0">
      <w:pPr>
        <w:pStyle w:val="BodyText"/>
      </w:pPr>
      <w:r w:rsidRPr="00632A36">
        <w:t xml:space="preserve">Authorization of 12 months may be granted for continued treatment in members requesting reauthorization for an indication listed in </w:t>
      </w:r>
      <w:r w:rsidR="002A2C92" w:rsidRPr="00632A36">
        <w:t>the Coverage Criteria section</w:t>
      </w:r>
      <w:r w:rsidRPr="00632A36">
        <w:t xml:space="preserve"> when there is no evidence of unacceptable toxicity or disease progression while on the current regimen. For members with CLL/SLL who will use Venclexta with Rituxan, Venclexta will not be used longer than 24 months from cycle 1 day 1 of Rituxan initiation. For members with CLL/SLL who will use Venclexta with Gazyva, Venclexta will not be used longer than 12 cycles</w:t>
      </w:r>
      <w:r w:rsidR="00A501AC" w:rsidRPr="00632A36">
        <w:t>.</w:t>
      </w:r>
      <w:r w:rsidR="006014D8" w:rsidRPr="00632A36">
        <w:t xml:space="preserve"> For members with CLL/SLL who will use Venclexta with Imbruvica</w:t>
      </w:r>
      <w:r w:rsidR="009D7942">
        <w:t xml:space="preserve"> or </w:t>
      </w:r>
      <w:proofErr w:type="spellStart"/>
      <w:r w:rsidR="009D7942">
        <w:t>Calquence</w:t>
      </w:r>
      <w:proofErr w:type="spellEnd"/>
      <w:r w:rsidR="006014D8" w:rsidRPr="00632A36">
        <w:t xml:space="preserve">, </w:t>
      </w:r>
      <w:proofErr w:type="spellStart"/>
      <w:r w:rsidR="006014D8" w:rsidRPr="00632A36">
        <w:t>Venclexta</w:t>
      </w:r>
      <w:proofErr w:type="spellEnd"/>
      <w:r w:rsidR="006014D8" w:rsidRPr="00632A36">
        <w:t xml:space="preserve"> will not be used longer than 13 cycles.</w:t>
      </w:r>
    </w:p>
    <w:p w14:paraId="10DA4309" w14:textId="0981C8DC" w:rsidR="00FF66BF" w:rsidRPr="008D1B34" w:rsidRDefault="00FF66BF" w:rsidP="00FF66BF">
      <w:pPr>
        <w:pStyle w:val="Heading2"/>
      </w:pPr>
      <w:r w:rsidRPr="008D1B34">
        <w:t>References</w:t>
      </w:r>
    </w:p>
    <w:p w14:paraId="66B2714D" w14:textId="0EE54DF0" w:rsidR="000440A8" w:rsidRDefault="000440A8" w:rsidP="000440A8">
      <w:pPr>
        <w:pStyle w:val="ReferenceOrdered"/>
      </w:pPr>
      <w:r>
        <w:t xml:space="preserve">Venclexta® [package insert]. North Chicago, IL: AbbVie Inc.; </w:t>
      </w:r>
      <w:r w:rsidR="00495DBB">
        <w:t>July 2024</w:t>
      </w:r>
      <w:r>
        <w:t>.</w:t>
      </w:r>
    </w:p>
    <w:p w14:paraId="119BE9F3" w14:textId="775CAC96" w:rsidR="00D808AA" w:rsidRPr="00D808AA" w:rsidRDefault="000440A8" w:rsidP="00D808AA">
      <w:pPr>
        <w:pStyle w:val="ReferenceOrdered"/>
      </w:pPr>
      <w:r>
        <w:t xml:space="preserve">The </w:t>
      </w:r>
      <w:proofErr w:type="spellStart"/>
      <w:r w:rsidR="00D808AA" w:rsidRPr="00D808AA">
        <w:t>The</w:t>
      </w:r>
      <w:proofErr w:type="spellEnd"/>
      <w:r w:rsidR="00D808AA" w:rsidRPr="00D808AA">
        <w:t xml:space="preserve"> NCCN Drugs &amp; Biologics Compendium</w:t>
      </w:r>
      <w:r w:rsidR="00D808AA" w:rsidRPr="00D808AA">
        <w:rPr>
          <w:vertAlign w:val="superscript"/>
        </w:rPr>
        <w:t>®</w:t>
      </w:r>
      <w:r w:rsidR="00D808AA" w:rsidRPr="00D808AA">
        <w:t xml:space="preserve"> © </w:t>
      </w:r>
      <w:r w:rsidR="00A973AB" w:rsidRPr="00D808AA">
        <w:t>202</w:t>
      </w:r>
      <w:r w:rsidR="00A973AB">
        <w:t>5</w:t>
      </w:r>
      <w:r w:rsidR="00A973AB" w:rsidRPr="00D808AA">
        <w:t xml:space="preserve"> </w:t>
      </w:r>
      <w:r w:rsidR="00D808AA" w:rsidRPr="00D808AA">
        <w:t xml:space="preserve">National Comprehensive Cancer Network, Inc. Available at: http://www.nccn.org. Accessed </w:t>
      </w:r>
      <w:r w:rsidR="00097EF2">
        <w:t>July 22</w:t>
      </w:r>
      <w:r w:rsidR="00A973AB">
        <w:t>, 2025</w:t>
      </w:r>
      <w:r w:rsidR="00D808AA" w:rsidRPr="00D808AA">
        <w:t>.</w:t>
      </w:r>
    </w:p>
    <w:p w14:paraId="256ADA5C" w14:textId="2DFA9A45" w:rsidR="00D808AA" w:rsidRPr="00D808AA" w:rsidRDefault="00D808AA" w:rsidP="00D808AA">
      <w:pPr>
        <w:pStyle w:val="ReferenceOrdered"/>
      </w:pPr>
      <w:r w:rsidRPr="00D808AA">
        <w:t xml:space="preserve">IBM Micromedex® DRUGDEX® (electronic version). IBM Watson Health, Greenwood Village, Colorado, USA. Available at http://www.micromedexsolutions.com. Accessed January </w:t>
      </w:r>
      <w:r w:rsidR="00A973AB">
        <w:t>27</w:t>
      </w:r>
      <w:r w:rsidRPr="00D808AA">
        <w:t xml:space="preserve">, </w:t>
      </w:r>
      <w:r w:rsidR="00A973AB" w:rsidRPr="00D808AA">
        <w:t>202</w:t>
      </w:r>
      <w:r w:rsidR="00A973AB">
        <w:t>5</w:t>
      </w:r>
      <w:r w:rsidRPr="00D808AA">
        <w:t>.</w:t>
      </w:r>
    </w:p>
    <w:p w14:paraId="0F47AF0D" w14:textId="1542E65F" w:rsidR="00D808AA" w:rsidRPr="00D808AA" w:rsidRDefault="00D808AA" w:rsidP="00D808AA">
      <w:pPr>
        <w:pStyle w:val="ReferenceOrdered"/>
      </w:pPr>
      <w:bookmarkStart w:id="3" w:name="OLE_LINK38"/>
      <w:r w:rsidRPr="00D808AA">
        <w:t>The NCCN Clinical Practice Guidelines in Oncology Multiple Myeloma Version</w:t>
      </w:r>
      <w:r w:rsidR="00632A36">
        <w:t xml:space="preserve"> </w:t>
      </w:r>
      <w:r w:rsidR="00A973AB">
        <w:t>1</w:t>
      </w:r>
      <w:r w:rsidRPr="00D808AA">
        <w:t>.</w:t>
      </w:r>
      <w:r w:rsidR="00A973AB" w:rsidRPr="00D808AA">
        <w:t>202</w:t>
      </w:r>
      <w:r w:rsidR="00A973AB">
        <w:t>5</w:t>
      </w:r>
      <w:r w:rsidR="00A973AB" w:rsidRPr="00D808AA">
        <w:t xml:space="preserve"> </w:t>
      </w:r>
      <w:r w:rsidRPr="00D808AA">
        <w:t>National Comprehensive Cancer Network, Inc. Available at: http://www.</w:t>
      </w:r>
      <w:hyperlink r:id="rId15" w:history="1">
        <w:r w:rsidRPr="00D808AA">
          <w:rPr>
            <w:rStyle w:val="Hyperlink"/>
          </w:rPr>
          <w:t>nccn.org</w:t>
        </w:r>
      </w:hyperlink>
      <w:r w:rsidRPr="00D808AA">
        <w:t xml:space="preserve">. Accessed January </w:t>
      </w:r>
      <w:r w:rsidR="00A973AB">
        <w:t>27</w:t>
      </w:r>
      <w:r w:rsidRPr="00D808AA">
        <w:t xml:space="preserve">, </w:t>
      </w:r>
      <w:r w:rsidR="00A973AB" w:rsidRPr="00D808AA">
        <w:t>202</w:t>
      </w:r>
      <w:r w:rsidR="00A973AB">
        <w:t>5</w:t>
      </w:r>
      <w:r w:rsidRPr="00D808AA">
        <w:t>.</w:t>
      </w:r>
    </w:p>
    <w:p w14:paraId="4C133EF8" w14:textId="7F930F11" w:rsidR="00D808AA" w:rsidRPr="00D808AA" w:rsidRDefault="00D808AA" w:rsidP="00D808AA">
      <w:pPr>
        <w:pStyle w:val="ReferenceOrdered"/>
      </w:pPr>
      <w:r w:rsidRPr="00D808AA">
        <w:t xml:space="preserve">The NCCN Clinical Practice Guidelines in Oncology Acute Myeloid Leukemia Version </w:t>
      </w:r>
      <w:r w:rsidR="00A973AB">
        <w:t>2</w:t>
      </w:r>
      <w:r w:rsidRPr="00D808AA">
        <w:t>.</w:t>
      </w:r>
      <w:r w:rsidR="00A973AB" w:rsidRPr="00D808AA">
        <w:t>202</w:t>
      </w:r>
      <w:r w:rsidR="00A973AB">
        <w:t>5</w:t>
      </w:r>
      <w:r w:rsidR="00A973AB" w:rsidRPr="00D808AA">
        <w:t xml:space="preserve"> </w:t>
      </w:r>
      <w:r w:rsidRPr="00D808AA">
        <w:t>National Comprehensive Cancer Network, Inc. Available at: http://www.</w:t>
      </w:r>
      <w:hyperlink r:id="rId16" w:history="1">
        <w:r w:rsidRPr="00D808AA">
          <w:rPr>
            <w:rStyle w:val="Hyperlink"/>
          </w:rPr>
          <w:t>nccn.org</w:t>
        </w:r>
      </w:hyperlink>
      <w:r w:rsidRPr="00D808AA">
        <w:t xml:space="preserve">. Accessed </w:t>
      </w:r>
      <w:r w:rsidR="00A973AB">
        <w:t xml:space="preserve">January 27, </w:t>
      </w:r>
      <w:r w:rsidR="00A973AB" w:rsidRPr="00D808AA">
        <w:t>202</w:t>
      </w:r>
      <w:r w:rsidR="00A973AB">
        <w:t>5</w:t>
      </w:r>
      <w:r w:rsidRPr="00D808AA">
        <w:t>.</w:t>
      </w:r>
    </w:p>
    <w:bookmarkEnd w:id="3"/>
    <w:sectPr w:rsidR="00D808AA" w:rsidRPr="00D808AA" w:rsidSect="00D55CA6">
      <w:headerReference w:type="first" r:id="rId17"/>
      <w:footerReference w:type="first" r:id="rId18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4839" w14:textId="77777777" w:rsidR="004845AE" w:rsidRDefault="004845AE">
      <w:r>
        <w:separator/>
      </w:r>
    </w:p>
  </w:endnote>
  <w:endnote w:type="continuationSeparator" w:id="0">
    <w:p w14:paraId="3F2B58B3" w14:textId="77777777" w:rsidR="004845AE" w:rsidRDefault="004845AE">
      <w:r>
        <w:continuationSeparator/>
      </w:r>
    </w:p>
  </w:endnote>
  <w:endnote w:type="continuationNotice" w:id="1">
    <w:p w14:paraId="19C430FE" w14:textId="77777777" w:rsidR="004845AE" w:rsidRDefault="00484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638B" w14:textId="70171151" w:rsidR="00175CD5" w:rsidRPr="00175CD5" w:rsidRDefault="00175CD5" w:rsidP="00175CD5">
    <w:pPr>
      <w:tabs>
        <w:tab w:val="right" w:pos="10710"/>
      </w:tabs>
      <w:spacing w:before="120" w:after="120"/>
      <w:rPr>
        <w:rFonts w:cs="Arial"/>
        <w:noProof/>
        <w:snapToGrid w:val="0"/>
        <w:color w:val="000000"/>
        <w:sz w:val="16"/>
        <w:szCs w:val="16"/>
      </w:rPr>
    </w:pPr>
    <w:r w:rsidRPr="00175CD5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175CD5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175CD5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F54F98" w:rsidRPr="00F54F98">
      <w:rPr>
        <w:rFonts w:cs="Arial"/>
        <w:noProof/>
        <w:sz w:val="16"/>
        <w:szCs w:val="16"/>
      </w:rPr>
      <w:t>Venclexta SGM 2374-A P2025a.docx</w:t>
    </w:r>
    <w:r w:rsidRPr="00175CD5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175CD5">
      <w:rPr>
        <w:rFonts w:cs="Arial"/>
        <w:noProof/>
        <w:snapToGrid w:val="0"/>
        <w:color w:val="000000"/>
        <w:sz w:val="16"/>
        <w:szCs w:val="16"/>
      </w:rPr>
      <w:tab/>
      <w:t xml:space="preserve">© </w:t>
    </w:r>
    <w:r w:rsidR="00A973AB" w:rsidRPr="00175CD5">
      <w:rPr>
        <w:rFonts w:cs="Arial"/>
        <w:noProof/>
        <w:snapToGrid w:val="0"/>
        <w:color w:val="000000"/>
        <w:sz w:val="16"/>
        <w:szCs w:val="16"/>
      </w:rPr>
      <w:t>202</w:t>
    </w:r>
    <w:r w:rsidR="00A973AB">
      <w:rPr>
        <w:rFonts w:cs="Arial"/>
        <w:noProof/>
        <w:snapToGrid w:val="0"/>
        <w:color w:val="000000"/>
        <w:sz w:val="16"/>
        <w:szCs w:val="16"/>
      </w:rPr>
      <w:t>5</w:t>
    </w:r>
    <w:r w:rsidR="00A973AB" w:rsidRPr="00175CD5">
      <w:rPr>
        <w:rFonts w:cs="Arial"/>
        <w:noProof/>
        <w:snapToGrid w:val="0"/>
        <w:color w:val="000000"/>
        <w:sz w:val="16"/>
        <w:szCs w:val="16"/>
      </w:rPr>
      <w:t xml:space="preserve"> </w:t>
    </w:r>
    <w:r w:rsidRPr="00175CD5">
      <w:rPr>
        <w:rFonts w:cs="Arial"/>
        <w:noProof/>
        <w:snapToGrid w:val="0"/>
        <w:color w:val="000000"/>
        <w:sz w:val="16"/>
        <w:szCs w:val="16"/>
      </w:rPr>
      <w:t>CVS Caremark. All rights reserved.</w:t>
    </w:r>
  </w:p>
  <w:p w14:paraId="4CF379CD" w14:textId="77777777" w:rsidR="00175CD5" w:rsidRPr="00175CD5" w:rsidRDefault="00175CD5" w:rsidP="00175CD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175CD5">
      <w:rPr>
        <w:rFonts w:cs="Arial"/>
        <w:sz w:val="16"/>
        <w:szCs w:val="16"/>
      </w:rPr>
      <w:t>This document contains c</w:t>
    </w:r>
    <w:r w:rsidRPr="00175CD5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175CD5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175CD5">
      <w:rPr>
        <w:rFonts w:cs="Arial"/>
        <w:snapToGrid w:val="0"/>
        <w:sz w:val="16"/>
        <w:szCs w:val="16"/>
      </w:rPr>
      <w:t>CVS Caremark</w:t>
    </w:r>
    <w:r w:rsidRPr="00175CD5">
      <w:rPr>
        <w:rFonts w:cs="Arial"/>
        <w:sz w:val="16"/>
        <w:szCs w:val="16"/>
      </w:rPr>
      <w:t>.</w:t>
    </w:r>
  </w:p>
  <w:p w14:paraId="551F2C8D" w14:textId="658D88EC" w:rsidR="0092180A" w:rsidRPr="00175CD5" w:rsidRDefault="00175CD5" w:rsidP="00175CD5">
    <w:pPr>
      <w:autoSpaceDE w:val="0"/>
      <w:autoSpaceDN w:val="0"/>
      <w:adjustRightInd w:val="0"/>
      <w:jc w:val="center"/>
      <w:rPr>
        <w:sz w:val="16"/>
        <w:szCs w:val="16"/>
      </w:rPr>
    </w:pPr>
    <w:r w:rsidRPr="00175CD5">
      <w:rPr>
        <w:rFonts w:cs="Arial"/>
        <w:sz w:val="16"/>
        <w:szCs w:val="16"/>
      </w:rPr>
      <w:fldChar w:fldCharType="begin"/>
    </w:r>
    <w:r w:rsidRPr="00175CD5">
      <w:rPr>
        <w:rFonts w:cs="Arial"/>
        <w:sz w:val="16"/>
        <w:szCs w:val="16"/>
      </w:rPr>
      <w:instrText xml:space="preserve"> PAGE </w:instrText>
    </w:r>
    <w:r w:rsidRPr="00175CD5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175CD5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81019875"/>
  <w:bookmarkStart w:id="1" w:name="_Hlk181019876"/>
  <w:p w14:paraId="53129254" w14:textId="33C5E963" w:rsidR="00175CD5" w:rsidRPr="00175CD5" w:rsidRDefault="00175CD5" w:rsidP="00175CD5">
    <w:pPr>
      <w:tabs>
        <w:tab w:val="right" w:pos="10710"/>
      </w:tabs>
      <w:spacing w:before="120" w:after="120"/>
      <w:rPr>
        <w:rFonts w:cs="Arial"/>
        <w:noProof/>
        <w:snapToGrid w:val="0"/>
        <w:color w:val="000000"/>
        <w:sz w:val="16"/>
        <w:szCs w:val="16"/>
      </w:rPr>
    </w:pPr>
    <w:r w:rsidRPr="00175CD5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175CD5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175CD5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F54F98" w:rsidRPr="00F54F98">
      <w:rPr>
        <w:rFonts w:cs="Arial"/>
        <w:noProof/>
        <w:sz w:val="16"/>
        <w:szCs w:val="16"/>
      </w:rPr>
      <w:t>Venclexta SGM 2374-A P2025a.docx</w:t>
    </w:r>
    <w:r w:rsidRPr="00175CD5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175CD5">
      <w:rPr>
        <w:rFonts w:cs="Arial"/>
        <w:noProof/>
        <w:snapToGrid w:val="0"/>
        <w:color w:val="000000"/>
        <w:sz w:val="16"/>
        <w:szCs w:val="16"/>
      </w:rPr>
      <w:tab/>
      <w:t xml:space="preserve">© </w:t>
    </w:r>
    <w:r w:rsidR="00A973AB" w:rsidRPr="00175CD5">
      <w:rPr>
        <w:rFonts w:cs="Arial"/>
        <w:noProof/>
        <w:snapToGrid w:val="0"/>
        <w:color w:val="000000"/>
        <w:sz w:val="16"/>
        <w:szCs w:val="16"/>
      </w:rPr>
      <w:t>202</w:t>
    </w:r>
    <w:r w:rsidR="00A973AB">
      <w:rPr>
        <w:rFonts w:cs="Arial"/>
        <w:noProof/>
        <w:snapToGrid w:val="0"/>
        <w:color w:val="000000"/>
        <w:sz w:val="16"/>
        <w:szCs w:val="16"/>
      </w:rPr>
      <w:t>5</w:t>
    </w:r>
    <w:r w:rsidR="00A973AB" w:rsidRPr="00175CD5">
      <w:rPr>
        <w:rFonts w:cs="Arial"/>
        <w:noProof/>
        <w:snapToGrid w:val="0"/>
        <w:color w:val="000000"/>
        <w:sz w:val="16"/>
        <w:szCs w:val="16"/>
      </w:rPr>
      <w:t xml:space="preserve"> </w:t>
    </w:r>
    <w:r w:rsidRPr="00175CD5">
      <w:rPr>
        <w:rFonts w:cs="Arial"/>
        <w:noProof/>
        <w:snapToGrid w:val="0"/>
        <w:color w:val="000000"/>
        <w:sz w:val="16"/>
        <w:szCs w:val="16"/>
      </w:rPr>
      <w:t>CVS Caremark. All rights reserved.</w:t>
    </w:r>
  </w:p>
  <w:p w14:paraId="0A848419" w14:textId="77777777" w:rsidR="00175CD5" w:rsidRPr="00175CD5" w:rsidRDefault="00175CD5" w:rsidP="00175CD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175CD5">
      <w:rPr>
        <w:rFonts w:cs="Arial"/>
        <w:sz w:val="16"/>
        <w:szCs w:val="16"/>
      </w:rPr>
      <w:t>This document contains c</w:t>
    </w:r>
    <w:r w:rsidRPr="00175CD5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175CD5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175CD5">
      <w:rPr>
        <w:rFonts w:cs="Arial"/>
        <w:snapToGrid w:val="0"/>
        <w:sz w:val="16"/>
        <w:szCs w:val="16"/>
      </w:rPr>
      <w:t>CVS Caremark</w:t>
    </w:r>
    <w:r w:rsidRPr="00175CD5">
      <w:rPr>
        <w:rFonts w:cs="Arial"/>
        <w:sz w:val="16"/>
        <w:szCs w:val="16"/>
      </w:rPr>
      <w:t>.</w:t>
    </w:r>
  </w:p>
  <w:p w14:paraId="05FA9822" w14:textId="5512E2DC" w:rsidR="0092180A" w:rsidRPr="00175CD5" w:rsidRDefault="00175CD5" w:rsidP="00175CD5">
    <w:pPr>
      <w:autoSpaceDE w:val="0"/>
      <w:autoSpaceDN w:val="0"/>
      <w:adjustRightInd w:val="0"/>
      <w:jc w:val="center"/>
      <w:rPr>
        <w:sz w:val="16"/>
        <w:szCs w:val="16"/>
      </w:rPr>
    </w:pPr>
    <w:r w:rsidRPr="00175CD5">
      <w:rPr>
        <w:rFonts w:cs="Arial"/>
        <w:sz w:val="16"/>
        <w:szCs w:val="16"/>
      </w:rPr>
      <w:fldChar w:fldCharType="begin"/>
    </w:r>
    <w:r w:rsidRPr="00175CD5">
      <w:rPr>
        <w:rFonts w:cs="Arial"/>
        <w:sz w:val="16"/>
        <w:szCs w:val="16"/>
      </w:rPr>
      <w:instrText xml:space="preserve"> PAGE </w:instrText>
    </w:r>
    <w:r w:rsidRPr="00175CD5">
      <w:rPr>
        <w:rFonts w:cs="Arial"/>
        <w:sz w:val="16"/>
        <w:szCs w:val="16"/>
      </w:rPr>
      <w:fldChar w:fldCharType="separate"/>
    </w:r>
    <w:r w:rsidRPr="00175CD5">
      <w:rPr>
        <w:rFonts w:cs="Arial"/>
        <w:sz w:val="16"/>
        <w:szCs w:val="16"/>
      </w:rPr>
      <w:t>1</w:t>
    </w:r>
    <w:r w:rsidRPr="00175CD5">
      <w:rPr>
        <w:rFonts w:cs="Arial"/>
        <w:sz w:val="16"/>
        <w:szCs w:val="16"/>
      </w:rPr>
      <w:fldChar w:fldCharType="end"/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0740" w14:textId="77777777" w:rsidR="004845AE" w:rsidRDefault="004845AE">
      <w:r>
        <w:separator/>
      </w:r>
    </w:p>
  </w:footnote>
  <w:footnote w:type="continuationSeparator" w:id="0">
    <w:p w14:paraId="691D4A64" w14:textId="77777777" w:rsidR="004845AE" w:rsidRDefault="004845AE">
      <w:r>
        <w:continuationSeparator/>
      </w:r>
    </w:p>
  </w:footnote>
  <w:footnote w:type="continuationNotice" w:id="1">
    <w:p w14:paraId="77C54B0D" w14:textId="77777777" w:rsidR="004845AE" w:rsidRDefault="00484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2180A" w:rsidRPr="00ED04EC" w14:paraId="39FA947A" w14:textId="77777777">
      <w:trPr>
        <w:trHeight w:val="144"/>
        <w:jc w:val="right"/>
      </w:trPr>
      <w:tc>
        <w:tcPr>
          <w:tcW w:w="1854" w:type="dxa"/>
          <w:hideMark/>
        </w:tcPr>
        <w:p w14:paraId="332F55C7" w14:textId="77777777" w:rsidR="0092180A" w:rsidRPr="00AA1E6A" w:rsidRDefault="0092180A" w:rsidP="00C67E81">
          <w:pPr>
            <w:pStyle w:val="RefTableHeader"/>
          </w:pPr>
          <w:r w:rsidRPr="00AA1E6A">
            <w:t>Reference number(s)</w:t>
          </w:r>
        </w:p>
      </w:tc>
    </w:tr>
    <w:tr w:rsidR="0092180A" w:rsidRPr="00ED04EC" w14:paraId="0311FFDC" w14:textId="77777777">
      <w:trPr>
        <w:trHeight w:val="378"/>
        <w:jc w:val="right"/>
      </w:trPr>
      <w:tc>
        <w:tcPr>
          <w:tcW w:w="1854" w:type="dxa"/>
          <w:hideMark/>
        </w:tcPr>
        <w:p w14:paraId="5D1ED659" w14:textId="609FE3FB" w:rsidR="0092180A" w:rsidRPr="00AA1E6A" w:rsidRDefault="00175CD5" w:rsidP="00C67E81">
          <w:pPr>
            <w:pStyle w:val="RefTableData"/>
          </w:pPr>
          <w:r>
            <w:t>2374-A</w:t>
          </w:r>
        </w:p>
      </w:tc>
    </w:tr>
  </w:tbl>
  <w:p w14:paraId="64914122" w14:textId="77777777" w:rsidR="0092180A" w:rsidRPr="00AA1E6A" w:rsidRDefault="0092180A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E43106"/>
    <w:multiLevelType w:val="hybridMultilevel"/>
    <w:tmpl w:val="F13895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65722116"/>
    <w:lvl w:ilvl="0" w:tplc="9D16F11A">
      <w:start w:val="1"/>
      <w:numFmt w:val="upperLetter"/>
      <w:lvlText w:val="%1."/>
      <w:lvlJc w:val="left"/>
      <w:pPr>
        <w:ind w:left="99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35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4342D110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4" w:tplc="C706BF9A">
      <w:start w:val="1"/>
      <w:numFmt w:val="lowerLetter"/>
      <w:lvlText w:val="%5."/>
      <w:lvlJc w:val="left"/>
      <w:pPr>
        <w:ind w:left="1800" w:hanging="360"/>
      </w:pPr>
      <w:rPr>
        <w:b w:val="0"/>
      </w:rPr>
    </w:lvl>
    <w:lvl w:ilvl="5" w:tplc="E50EFF9A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ind w:left="1440" w:hanging="360"/>
      </w:pPr>
    </w:lvl>
    <w:lvl w:ilvl="7" w:tplc="04090019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13FD0"/>
    <w:multiLevelType w:val="hybridMultilevel"/>
    <w:tmpl w:val="897C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65DAB"/>
    <w:multiLevelType w:val="hybridMultilevel"/>
    <w:tmpl w:val="64E87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13510A"/>
    <w:multiLevelType w:val="hybridMultilevel"/>
    <w:tmpl w:val="793EA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7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1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3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18"/>
  </w:num>
  <w:num w:numId="26" w16cid:durableId="1950313333">
    <w:abstractNumId w:val="22"/>
  </w:num>
  <w:num w:numId="27" w16cid:durableId="1866016584">
    <w:abstractNumId w:val="21"/>
  </w:num>
  <w:num w:numId="28" w16cid:durableId="131292031">
    <w:abstractNumId w:val="29"/>
  </w:num>
  <w:num w:numId="29" w16cid:durableId="1798648222">
    <w:abstractNumId w:val="20"/>
  </w:num>
  <w:num w:numId="30" w16cid:durableId="1141654618">
    <w:abstractNumId w:val="32"/>
  </w:num>
  <w:num w:numId="31" w16cid:durableId="2102994115">
    <w:abstractNumId w:val="16"/>
  </w:num>
  <w:num w:numId="32" w16cid:durableId="898134209">
    <w:abstractNumId w:val="17"/>
  </w:num>
  <w:num w:numId="33" w16cid:durableId="1524830390">
    <w:abstractNumId w:val="33"/>
  </w:num>
  <w:num w:numId="34" w16cid:durableId="563181131">
    <w:abstractNumId w:val="30"/>
  </w:num>
  <w:num w:numId="35" w16cid:durableId="1792433231">
    <w:abstractNumId w:val="10"/>
  </w:num>
  <w:num w:numId="36" w16cid:durableId="932208218">
    <w:abstractNumId w:val="33"/>
  </w:num>
  <w:num w:numId="37" w16cid:durableId="1304966305">
    <w:abstractNumId w:val="33"/>
  </w:num>
  <w:num w:numId="38" w16cid:durableId="1898783263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3A4"/>
    <w:rsid w:val="00023FA0"/>
    <w:rsid w:val="0002411A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091"/>
    <w:rsid w:val="00037636"/>
    <w:rsid w:val="00037A95"/>
    <w:rsid w:val="0004226E"/>
    <w:rsid w:val="000425B0"/>
    <w:rsid w:val="00043056"/>
    <w:rsid w:val="000440A8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785"/>
    <w:rsid w:val="00052989"/>
    <w:rsid w:val="00054212"/>
    <w:rsid w:val="00054638"/>
    <w:rsid w:val="000548A4"/>
    <w:rsid w:val="000548E0"/>
    <w:rsid w:val="000554ED"/>
    <w:rsid w:val="00055871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97EF2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4C2"/>
    <w:rsid w:val="000B57DC"/>
    <w:rsid w:val="000B5871"/>
    <w:rsid w:val="000B5E31"/>
    <w:rsid w:val="000B6086"/>
    <w:rsid w:val="000B61D7"/>
    <w:rsid w:val="000B64CF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3EDE"/>
    <w:rsid w:val="000D44C7"/>
    <w:rsid w:val="000D454D"/>
    <w:rsid w:val="000D4EA4"/>
    <w:rsid w:val="000D5101"/>
    <w:rsid w:val="000D5978"/>
    <w:rsid w:val="000D5D4B"/>
    <w:rsid w:val="000D7E80"/>
    <w:rsid w:val="000D7ED8"/>
    <w:rsid w:val="000E0438"/>
    <w:rsid w:val="000E095D"/>
    <w:rsid w:val="000E0C62"/>
    <w:rsid w:val="000E24FA"/>
    <w:rsid w:val="000E2ECC"/>
    <w:rsid w:val="000E37E4"/>
    <w:rsid w:val="000E395D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6AB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308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2B6"/>
    <w:rsid w:val="00173AB9"/>
    <w:rsid w:val="001747DB"/>
    <w:rsid w:val="00174F3B"/>
    <w:rsid w:val="00175B12"/>
    <w:rsid w:val="00175CD5"/>
    <w:rsid w:val="00175F8E"/>
    <w:rsid w:val="00176167"/>
    <w:rsid w:val="001765D6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3ED"/>
    <w:rsid w:val="00187B98"/>
    <w:rsid w:val="00187BCC"/>
    <w:rsid w:val="00190200"/>
    <w:rsid w:val="0019091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C2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75C"/>
    <w:rsid w:val="00211DE1"/>
    <w:rsid w:val="00212062"/>
    <w:rsid w:val="00213310"/>
    <w:rsid w:val="002134FD"/>
    <w:rsid w:val="002140F4"/>
    <w:rsid w:val="0021437E"/>
    <w:rsid w:val="0021440B"/>
    <w:rsid w:val="0021446F"/>
    <w:rsid w:val="002155CC"/>
    <w:rsid w:val="00215A86"/>
    <w:rsid w:val="00215B40"/>
    <w:rsid w:val="002173D5"/>
    <w:rsid w:val="0022007C"/>
    <w:rsid w:val="00220916"/>
    <w:rsid w:val="00220B3F"/>
    <w:rsid w:val="00220B77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CC1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34"/>
    <w:rsid w:val="00267A90"/>
    <w:rsid w:val="002708AE"/>
    <w:rsid w:val="00271357"/>
    <w:rsid w:val="00272160"/>
    <w:rsid w:val="00272D78"/>
    <w:rsid w:val="00273E66"/>
    <w:rsid w:val="00273FEB"/>
    <w:rsid w:val="0027496D"/>
    <w:rsid w:val="002754FA"/>
    <w:rsid w:val="00275B83"/>
    <w:rsid w:val="00276114"/>
    <w:rsid w:val="0027637A"/>
    <w:rsid w:val="002763A4"/>
    <w:rsid w:val="002765AF"/>
    <w:rsid w:val="00276AF9"/>
    <w:rsid w:val="00276C9D"/>
    <w:rsid w:val="00277212"/>
    <w:rsid w:val="002773DB"/>
    <w:rsid w:val="00277791"/>
    <w:rsid w:val="002777DF"/>
    <w:rsid w:val="0028043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2C92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13C"/>
    <w:rsid w:val="002D6257"/>
    <w:rsid w:val="002D6987"/>
    <w:rsid w:val="002D6C16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B8E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A83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11"/>
    <w:rsid w:val="00323534"/>
    <w:rsid w:val="003242E2"/>
    <w:rsid w:val="003254F4"/>
    <w:rsid w:val="00325693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4C3"/>
    <w:rsid w:val="00372A21"/>
    <w:rsid w:val="00372FCD"/>
    <w:rsid w:val="0037333D"/>
    <w:rsid w:val="00374540"/>
    <w:rsid w:val="003753D0"/>
    <w:rsid w:val="003756FF"/>
    <w:rsid w:val="0037580F"/>
    <w:rsid w:val="00375E32"/>
    <w:rsid w:val="0037664E"/>
    <w:rsid w:val="003777A6"/>
    <w:rsid w:val="00377D50"/>
    <w:rsid w:val="00381B05"/>
    <w:rsid w:val="00381B16"/>
    <w:rsid w:val="0038248C"/>
    <w:rsid w:val="003829C8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0AA2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895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3C13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15D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512"/>
    <w:rsid w:val="004438A7"/>
    <w:rsid w:val="00444336"/>
    <w:rsid w:val="00444A6A"/>
    <w:rsid w:val="00444E14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1B29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5AE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B2"/>
    <w:rsid w:val="00495ADE"/>
    <w:rsid w:val="00495DBB"/>
    <w:rsid w:val="0049611C"/>
    <w:rsid w:val="00497D66"/>
    <w:rsid w:val="004A049A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5E5C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0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CCD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93D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C1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822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8D9"/>
    <w:rsid w:val="005A3D7E"/>
    <w:rsid w:val="005A4A78"/>
    <w:rsid w:val="005A4DFB"/>
    <w:rsid w:val="005A542C"/>
    <w:rsid w:val="005A5CE8"/>
    <w:rsid w:val="005A602D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B49"/>
    <w:rsid w:val="005D7081"/>
    <w:rsid w:val="005D72EF"/>
    <w:rsid w:val="005D7947"/>
    <w:rsid w:val="005D7EA2"/>
    <w:rsid w:val="005E0BD2"/>
    <w:rsid w:val="005E1266"/>
    <w:rsid w:val="005E2BF1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4D8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A3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A04"/>
    <w:rsid w:val="00637D18"/>
    <w:rsid w:val="0064175A"/>
    <w:rsid w:val="00642734"/>
    <w:rsid w:val="00642971"/>
    <w:rsid w:val="00642BEF"/>
    <w:rsid w:val="006434FA"/>
    <w:rsid w:val="00643E65"/>
    <w:rsid w:val="00643E90"/>
    <w:rsid w:val="006442D1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544"/>
    <w:rsid w:val="00675422"/>
    <w:rsid w:val="006754FB"/>
    <w:rsid w:val="0067569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2E0D"/>
    <w:rsid w:val="006931EA"/>
    <w:rsid w:val="00693B34"/>
    <w:rsid w:val="00694A62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E1F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E12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8FE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2BE8"/>
    <w:rsid w:val="0073324D"/>
    <w:rsid w:val="0073362E"/>
    <w:rsid w:val="00735381"/>
    <w:rsid w:val="007363FE"/>
    <w:rsid w:val="00736D6F"/>
    <w:rsid w:val="0074014C"/>
    <w:rsid w:val="00741656"/>
    <w:rsid w:val="00741E80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05E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E89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1C"/>
    <w:rsid w:val="007B5F56"/>
    <w:rsid w:val="007B7202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9ED"/>
    <w:rsid w:val="007D151B"/>
    <w:rsid w:val="007D177A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B98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0ADC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284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966"/>
    <w:rsid w:val="00842F87"/>
    <w:rsid w:val="008432CC"/>
    <w:rsid w:val="00843B1E"/>
    <w:rsid w:val="00843CE4"/>
    <w:rsid w:val="0084425F"/>
    <w:rsid w:val="008445A6"/>
    <w:rsid w:val="00844E79"/>
    <w:rsid w:val="008465D2"/>
    <w:rsid w:val="00850792"/>
    <w:rsid w:val="00852508"/>
    <w:rsid w:val="0085298F"/>
    <w:rsid w:val="00852FA8"/>
    <w:rsid w:val="0085356E"/>
    <w:rsid w:val="00853AF4"/>
    <w:rsid w:val="00853E9B"/>
    <w:rsid w:val="008541E9"/>
    <w:rsid w:val="00854230"/>
    <w:rsid w:val="008542C7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30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E15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6E5F"/>
    <w:rsid w:val="008E7659"/>
    <w:rsid w:val="008E7F9D"/>
    <w:rsid w:val="008F05DE"/>
    <w:rsid w:val="008F09AE"/>
    <w:rsid w:val="008F0AC3"/>
    <w:rsid w:val="008F173A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5EF"/>
    <w:rsid w:val="00914B83"/>
    <w:rsid w:val="009159E4"/>
    <w:rsid w:val="009166D3"/>
    <w:rsid w:val="00916BA8"/>
    <w:rsid w:val="00920D1A"/>
    <w:rsid w:val="0092167E"/>
    <w:rsid w:val="0092180A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5910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411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6A9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CBB"/>
    <w:rsid w:val="00967295"/>
    <w:rsid w:val="00967BB3"/>
    <w:rsid w:val="00967BFF"/>
    <w:rsid w:val="009704A7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AC0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775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6A8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1D0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942"/>
    <w:rsid w:val="009D7C0C"/>
    <w:rsid w:val="009D7F0B"/>
    <w:rsid w:val="009E127F"/>
    <w:rsid w:val="009E1F57"/>
    <w:rsid w:val="009E20EB"/>
    <w:rsid w:val="009E489A"/>
    <w:rsid w:val="009E4974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71C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56E4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5DD0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2C4"/>
    <w:rsid w:val="00A96256"/>
    <w:rsid w:val="00A96A09"/>
    <w:rsid w:val="00A973AB"/>
    <w:rsid w:val="00AA0497"/>
    <w:rsid w:val="00AA0955"/>
    <w:rsid w:val="00AA1E6A"/>
    <w:rsid w:val="00AA2744"/>
    <w:rsid w:val="00AA2A94"/>
    <w:rsid w:val="00AA3F55"/>
    <w:rsid w:val="00AA46E5"/>
    <w:rsid w:val="00AA46E6"/>
    <w:rsid w:val="00AA472A"/>
    <w:rsid w:val="00AA4E3C"/>
    <w:rsid w:val="00AA58CD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685"/>
    <w:rsid w:val="00AB2732"/>
    <w:rsid w:val="00AB299D"/>
    <w:rsid w:val="00AB2BF1"/>
    <w:rsid w:val="00AB3600"/>
    <w:rsid w:val="00AB3A4C"/>
    <w:rsid w:val="00AB3ACD"/>
    <w:rsid w:val="00AB3B7A"/>
    <w:rsid w:val="00AB48F8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70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492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8C7"/>
    <w:rsid w:val="00B13B6F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347"/>
    <w:rsid w:val="00B57430"/>
    <w:rsid w:val="00B574C8"/>
    <w:rsid w:val="00B57C0E"/>
    <w:rsid w:val="00B57EF6"/>
    <w:rsid w:val="00B616AA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0AD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611"/>
    <w:rsid w:val="00B76A92"/>
    <w:rsid w:val="00B76BCF"/>
    <w:rsid w:val="00B76C81"/>
    <w:rsid w:val="00B77B78"/>
    <w:rsid w:val="00B8022C"/>
    <w:rsid w:val="00B80357"/>
    <w:rsid w:val="00B80AC8"/>
    <w:rsid w:val="00B81929"/>
    <w:rsid w:val="00B81EEA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9D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415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4D7"/>
    <w:rsid w:val="00BC2111"/>
    <w:rsid w:val="00BC2848"/>
    <w:rsid w:val="00BC313F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B7C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0E06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3A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06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2C2"/>
    <w:rsid w:val="00C64534"/>
    <w:rsid w:val="00C64859"/>
    <w:rsid w:val="00C65465"/>
    <w:rsid w:val="00C65502"/>
    <w:rsid w:val="00C65A83"/>
    <w:rsid w:val="00C675EB"/>
    <w:rsid w:val="00C676EA"/>
    <w:rsid w:val="00C67725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369"/>
    <w:rsid w:val="00C808F0"/>
    <w:rsid w:val="00C809E5"/>
    <w:rsid w:val="00C82CAA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1E4E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0F8D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CA2"/>
    <w:rsid w:val="00D30248"/>
    <w:rsid w:val="00D30A4B"/>
    <w:rsid w:val="00D314DB"/>
    <w:rsid w:val="00D31A54"/>
    <w:rsid w:val="00D3213A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5CA6"/>
    <w:rsid w:val="00D56213"/>
    <w:rsid w:val="00D566EA"/>
    <w:rsid w:val="00D56FC3"/>
    <w:rsid w:val="00D578A8"/>
    <w:rsid w:val="00D6061D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AA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1CE"/>
    <w:rsid w:val="00D9125F"/>
    <w:rsid w:val="00D91451"/>
    <w:rsid w:val="00D9169B"/>
    <w:rsid w:val="00D91B68"/>
    <w:rsid w:val="00D91BC0"/>
    <w:rsid w:val="00D926EB"/>
    <w:rsid w:val="00D94357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29A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BB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95D"/>
    <w:rsid w:val="00E07B5C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05E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99D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FB2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7C5"/>
    <w:rsid w:val="00E8504F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5FB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1D7"/>
    <w:rsid w:val="00EB73F2"/>
    <w:rsid w:val="00EB754D"/>
    <w:rsid w:val="00EB7929"/>
    <w:rsid w:val="00EC0CE4"/>
    <w:rsid w:val="00EC11FF"/>
    <w:rsid w:val="00EC1B6E"/>
    <w:rsid w:val="00EC26DE"/>
    <w:rsid w:val="00EC279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592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084E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659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3A1"/>
    <w:rsid w:val="00F53593"/>
    <w:rsid w:val="00F53994"/>
    <w:rsid w:val="00F53DD1"/>
    <w:rsid w:val="00F54325"/>
    <w:rsid w:val="00F547DD"/>
    <w:rsid w:val="00F54F98"/>
    <w:rsid w:val="00F55113"/>
    <w:rsid w:val="00F554E0"/>
    <w:rsid w:val="00F56998"/>
    <w:rsid w:val="00F56BBE"/>
    <w:rsid w:val="00F56F0C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390"/>
    <w:rsid w:val="00F729CF"/>
    <w:rsid w:val="00F72FC2"/>
    <w:rsid w:val="00F73B86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B36"/>
    <w:rsid w:val="00F933A0"/>
    <w:rsid w:val="00F9341B"/>
    <w:rsid w:val="00F93676"/>
    <w:rsid w:val="00F93AC8"/>
    <w:rsid w:val="00F9431A"/>
    <w:rsid w:val="00F95419"/>
    <w:rsid w:val="00F963B6"/>
    <w:rsid w:val="00F96972"/>
    <w:rsid w:val="00F9750E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92180A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92180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nccn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nccn.org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1B65AA-C248-4DA3-BE71-EC777499D277}"/>
</file>

<file path=customXml/itemProps4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1082</Words>
  <Characters>7006</Characters>
  <Application>Microsoft Office Word</Application>
  <DocSecurity>0</DocSecurity>
  <Lines>142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Venclexta SGM 2374-A</vt:lpstr>
    </vt:vector>
  </TitlesOfParts>
  <Company>PCS Health Systems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Venclexta SGM 2374-A</dc:title>
  <dc:subject>Venclexta SGM 2374-A</dc:subject>
  <dc:creator>CVS Caremark</dc:creator>
  <cp:keywords/>
  <cp:lastModifiedBy>Huerta, Linda M</cp:lastModifiedBy>
  <cp:revision>4</cp:revision>
  <cp:lastPrinted>2024-04-12T08:34:00Z</cp:lastPrinted>
  <dcterms:created xsi:type="dcterms:W3CDTF">2025-08-07T14:33:00Z</dcterms:created>
  <dcterms:modified xsi:type="dcterms:W3CDTF">2025-08-08T15:34:00Z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944300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